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7D" w:rsidRDefault="00F2347D" w:rsidP="00F2347D">
      <w:pPr>
        <w:spacing w:after="120" w:line="276" w:lineRule="auto"/>
        <w:rPr>
          <w:rFonts w:ascii="Arial" w:hAnsi="Arial" w:cs="Arial"/>
          <w:b/>
        </w:rPr>
      </w:pPr>
      <w:r>
        <w:rPr>
          <w:rFonts w:ascii="Arial" w:hAnsi="Arial" w:cs="Arial"/>
          <w:b/>
        </w:rPr>
        <w:t>Nutrition- ‘Go, Slow, Whoa’ Foods Game</w:t>
      </w:r>
    </w:p>
    <w:p w:rsidR="00F2347D" w:rsidRPr="00FF08AA" w:rsidRDefault="00F2347D" w:rsidP="00F2347D">
      <w:pPr>
        <w:spacing w:line="276" w:lineRule="auto"/>
        <w:rPr>
          <w:rFonts w:ascii="Arial" w:hAnsi="Arial" w:cs="Arial"/>
          <w:b/>
          <w:bCs/>
          <w:color w:val="548DD4" w:themeColor="text2" w:themeTint="99"/>
          <w:szCs w:val="28"/>
        </w:rPr>
      </w:pPr>
      <w:r w:rsidRPr="00FF08AA">
        <w:rPr>
          <w:rFonts w:ascii="Arial" w:hAnsi="Arial" w:cs="Arial"/>
          <w:b/>
          <w:bCs/>
          <w:color w:val="548DD4" w:themeColor="text2" w:themeTint="99"/>
          <w:szCs w:val="28"/>
        </w:rPr>
        <w:t>Materials Needed</w:t>
      </w:r>
    </w:p>
    <w:p w:rsidR="00F2347D" w:rsidRPr="00FF08AA" w:rsidRDefault="00F2347D" w:rsidP="00F2347D">
      <w:pPr>
        <w:pStyle w:val="ListParagraph"/>
        <w:numPr>
          <w:ilvl w:val="0"/>
          <w:numId w:val="1"/>
        </w:numPr>
        <w:spacing w:after="120" w:line="276" w:lineRule="auto"/>
        <w:contextualSpacing w:val="0"/>
        <w:rPr>
          <w:rFonts w:ascii="Arial" w:hAnsi="Arial" w:cs="Arial"/>
          <w:b/>
          <w:bCs/>
          <w:color w:val="548DD4" w:themeColor="text2" w:themeTint="99"/>
          <w:szCs w:val="28"/>
        </w:rPr>
      </w:pPr>
      <w:r w:rsidRPr="00C62E0B">
        <w:rPr>
          <w:rFonts w:ascii="Arial" w:hAnsi="Arial" w:cs="Arial"/>
          <w:bCs/>
          <w:color w:val="548DD4" w:themeColor="text2" w:themeTint="99"/>
          <w:szCs w:val="28"/>
        </w:rPr>
        <w:t>Multiple copies of</w:t>
      </w:r>
      <w:r>
        <w:rPr>
          <w:rFonts w:ascii="Arial" w:hAnsi="Arial" w:cs="Arial"/>
          <w:b/>
          <w:bCs/>
          <w:color w:val="548DD4" w:themeColor="text2" w:themeTint="99"/>
          <w:szCs w:val="28"/>
        </w:rPr>
        <w:t xml:space="preserve"> </w:t>
      </w:r>
      <w:r w:rsidRPr="00FF08AA">
        <w:rPr>
          <w:rFonts w:ascii="Arial" w:hAnsi="Arial" w:cs="Arial"/>
          <w:b/>
          <w:bCs/>
          <w:color w:val="548DD4" w:themeColor="text2" w:themeTint="99"/>
          <w:szCs w:val="28"/>
        </w:rPr>
        <w:t xml:space="preserve">Handout </w:t>
      </w:r>
      <w:r>
        <w:rPr>
          <w:rFonts w:ascii="Arial" w:hAnsi="Arial" w:cs="Arial"/>
          <w:b/>
          <w:bCs/>
          <w:color w:val="548DD4" w:themeColor="text2" w:themeTint="99"/>
          <w:szCs w:val="28"/>
        </w:rPr>
        <w:t xml:space="preserve">B-2 “UR What U Eat” from: </w:t>
      </w:r>
      <w:hyperlink r:id="rId6" w:history="1">
        <w:r w:rsidRPr="00F67DA0">
          <w:rPr>
            <w:rStyle w:val="Hyperlink"/>
            <w:rFonts w:ascii="Arial" w:hAnsi="Arial" w:cs="Arial"/>
            <w:b/>
            <w:bCs/>
            <w:szCs w:val="28"/>
          </w:rPr>
          <w:t>http://www.nhlbi.nih.gov/health/public/heart/obesity/wecan/downloads/urwhateat.pdf</w:t>
        </w:r>
      </w:hyperlink>
      <w:r>
        <w:rPr>
          <w:rFonts w:ascii="Arial" w:hAnsi="Arial" w:cs="Arial"/>
          <w:b/>
          <w:bCs/>
          <w:color w:val="548DD4" w:themeColor="text2" w:themeTint="99"/>
          <w:szCs w:val="28"/>
        </w:rPr>
        <w:t xml:space="preserve">, or </w:t>
      </w:r>
      <w:hyperlink r:id="rId7" w:history="1">
        <w:r w:rsidRPr="00F67DA0">
          <w:rPr>
            <w:rStyle w:val="Hyperlink"/>
            <w:rFonts w:ascii="Arial" w:hAnsi="Arial" w:cs="Arial"/>
            <w:b/>
            <w:bCs/>
            <w:szCs w:val="28"/>
          </w:rPr>
          <w:t>http://www.nhlbi.nih.gov/health/public/heart/obesity/wecan/eat-right/index.htm</w:t>
        </w:r>
      </w:hyperlink>
      <w:r>
        <w:rPr>
          <w:rFonts w:ascii="Arial" w:hAnsi="Arial" w:cs="Arial"/>
          <w:b/>
          <w:bCs/>
          <w:color w:val="548DD4" w:themeColor="text2" w:themeTint="99"/>
          <w:szCs w:val="28"/>
        </w:rPr>
        <w:t xml:space="preserve">. </w:t>
      </w:r>
    </w:p>
    <w:p w:rsidR="00F2347D" w:rsidRDefault="00F2347D" w:rsidP="00F2347D">
      <w:pPr>
        <w:rPr>
          <w:rFonts w:ascii="Arial" w:hAnsi="Arial" w:cs="Arial"/>
          <w:b/>
          <w:i/>
          <w:sz w:val="22"/>
        </w:rPr>
      </w:pPr>
      <w:r w:rsidRPr="00D52B84">
        <w:rPr>
          <w:rFonts w:ascii="Arial" w:hAnsi="Arial" w:cs="Arial"/>
          <w:b/>
          <w:i/>
          <w:sz w:val="22"/>
        </w:rPr>
        <w:t xml:space="preserve">Note: for the Spanish version of this activity, please see the National Heart, Lung and Blood Institute web page dedicated to Education tools and the We Can! Campaign: </w:t>
      </w:r>
      <w:hyperlink r:id="rId8" w:history="1">
        <w:r w:rsidRPr="00D52B84">
          <w:rPr>
            <w:rStyle w:val="Hyperlink"/>
            <w:rFonts w:ascii="Arial" w:hAnsi="Arial" w:cs="Arial"/>
            <w:b/>
            <w:i/>
            <w:sz w:val="22"/>
          </w:rPr>
          <w:t>http://www.nhlbi.nih.gov/health/public/heart/obesity/wecan/tools-resources/nutrition.htm</w:t>
        </w:r>
      </w:hyperlink>
      <w:r w:rsidRPr="00D52B84">
        <w:rPr>
          <w:rFonts w:ascii="Arial" w:hAnsi="Arial" w:cs="Arial"/>
          <w:b/>
          <w:i/>
          <w:sz w:val="22"/>
        </w:rPr>
        <w:t xml:space="preserve"> and scroll down for </w:t>
      </w:r>
      <w:r>
        <w:rPr>
          <w:rFonts w:ascii="Arial" w:hAnsi="Arial" w:cs="Arial"/>
          <w:b/>
          <w:i/>
          <w:sz w:val="22"/>
        </w:rPr>
        <w:t xml:space="preserve">links to </w:t>
      </w:r>
      <w:r w:rsidRPr="00D52B84">
        <w:rPr>
          <w:rFonts w:ascii="Arial" w:hAnsi="Arial" w:cs="Arial"/>
          <w:b/>
          <w:i/>
          <w:sz w:val="22"/>
        </w:rPr>
        <w:t xml:space="preserve">Spanish language resources. </w:t>
      </w:r>
    </w:p>
    <w:p w:rsidR="00F2347D" w:rsidRPr="00D52B84" w:rsidRDefault="00F2347D" w:rsidP="00F2347D">
      <w:pPr>
        <w:rPr>
          <w:rFonts w:ascii="Arial" w:hAnsi="Arial" w:cs="Arial"/>
          <w:b/>
          <w:i/>
          <w:sz w:val="22"/>
        </w:rPr>
      </w:pPr>
    </w:p>
    <w:p w:rsidR="00F2347D" w:rsidRDefault="00F2347D" w:rsidP="00F2347D">
      <w:pPr>
        <w:rPr>
          <w:rFonts w:ascii="Arial" w:hAnsi="Arial" w:cs="Arial"/>
        </w:rPr>
      </w:pPr>
      <w:r>
        <w:rPr>
          <w:rFonts w:ascii="Arial" w:hAnsi="Arial" w:cs="Arial"/>
        </w:rPr>
        <w:t xml:space="preserve">Prepare for this activity ahead of time by printing at least 8 copies of </w:t>
      </w:r>
      <w:r w:rsidRPr="00ED3695">
        <w:rPr>
          <w:rFonts w:ascii="Arial" w:hAnsi="Arial" w:cs="Arial"/>
          <w:b/>
        </w:rPr>
        <w:t>Handout</w:t>
      </w:r>
      <w:r>
        <w:rPr>
          <w:rFonts w:ascii="Arial" w:hAnsi="Arial" w:cs="Arial"/>
          <w:b/>
        </w:rPr>
        <w:t xml:space="preserve"> B-2.</w:t>
      </w:r>
      <w:r>
        <w:rPr>
          <w:rFonts w:ascii="Arial" w:hAnsi="Arial" w:cs="Arial"/>
        </w:rPr>
        <w:t xml:space="preserve">  You will need to make “game boards.”  First, cut only the food pictures squares into separate squares (from all copies). What will be left is just the “Go, Slow, Whoa” along the top, and “Food Groups” along the side.  Then, make at least eight (8) copies of those sheets so they become whole sheets of paper. These will be the “game boards.”  Shuffle the squares.  </w:t>
      </w:r>
    </w:p>
    <w:p w:rsidR="00F2347D" w:rsidRDefault="00F2347D" w:rsidP="00F2347D">
      <w:pPr>
        <w:rPr>
          <w:rFonts w:ascii="Arial" w:hAnsi="Arial" w:cs="Arial"/>
        </w:rPr>
      </w:pPr>
    </w:p>
    <w:p w:rsidR="00F2347D" w:rsidRPr="005D3C0A" w:rsidRDefault="00F2347D" w:rsidP="00F2347D">
      <w:pPr>
        <w:rPr>
          <w:rFonts w:ascii="Arial" w:hAnsi="Arial" w:cs="Arial"/>
        </w:rPr>
      </w:pPr>
      <w:r w:rsidRPr="00E35278">
        <w:rPr>
          <w:rFonts w:ascii="Arial" w:hAnsi="Arial" w:cs="Arial"/>
          <w:b/>
          <w:i/>
          <w:sz w:val="22"/>
        </w:rPr>
        <w:t xml:space="preserve">Or, print out Go, Slow, Whoa! Flash cards, found here: </w:t>
      </w:r>
      <w:hyperlink r:id="rId9" w:history="1">
        <w:r w:rsidRPr="00E35278">
          <w:rPr>
            <w:rStyle w:val="Hyperlink"/>
            <w:rFonts w:ascii="Arial" w:hAnsi="Arial" w:cs="Arial"/>
            <w:b/>
            <w:i/>
            <w:sz w:val="22"/>
          </w:rPr>
          <w:t>http://www.nhlbi.nih.gov/health/public/heart/obesity/wecan/tools-resources/nutrition.htm</w:t>
        </w:r>
      </w:hyperlink>
      <w:r w:rsidRPr="00E35278">
        <w:rPr>
          <w:rFonts w:ascii="Arial" w:hAnsi="Arial" w:cs="Arial"/>
          <w:b/>
          <w:i/>
          <w:sz w:val="22"/>
        </w:rPr>
        <w:t xml:space="preserve"> under “Tools.”</w:t>
      </w:r>
    </w:p>
    <w:p w:rsidR="00F2347D" w:rsidRPr="009A5175" w:rsidRDefault="00F2347D" w:rsidP="00F2347D">
      <w:pPr>
        <w:rPr>
          <w:rFonts w:ascii="Arial" w:hAnsi="Arial" w:cs="Arial"/>
        </w:rPr>
      </w:pPr>
    </w:p>
    <w:p w:rsidR="00F2347D" w:rsidRDefault="00F2347D" w:rsidP="00F2347D">
      <w:pPr>
        <w:rPr>
          <w:rFonts w:ascii="Arial" w:hAnsi="Arial" w:cs="Arial"/>
        </w:rPr>
      </w:pPr>
      <w:r>
        <w:rPr>
          <w:rFonts w:ascii="Arial" w:hAnsi="Arial" w:cs="Arial"/>
        </w:rPr>
        <w:t>Before playing the game</w:t>
      </w:r>
      <w:r w:rsidRPr="000672D7">
        <w:rPr>
          <w:rFonts w:ascii="Arial" w:hAnsi="Arial" w:cs="Arial"/>
        </w:rPr>
        <w:t>, introduce the concept of “</w:t>
      </w:r>
      <w:r w:rsidRPr="008E7DEC">
        <w:rPr>
          <w:rFonts w:ascii="Arial" w:hAnsi="Arial" w:cs="Arial"/>
          <w:i/>
        </w:rPr>
        <w:t>Go, Slow, Whoa</w:t>
      </w:r>
      <w:r w:rsidRPr="000672D7">
        <w:rPr>
          <w:rFonts w:ascii="Arial" w:hAnsi="Arial" w:cs="Arial"/>
        </w:rPr>
        <w:t>” foods</w:t>
      </w:r>
      <w:r>
        <w:rPr>
          <w:rFonts w:ascii="Arial" w:hAnsi="Arial" w:cs="Arial"/>
        </w:rPr>
        <w:t>.</w:t>
      </w:r>
      <w:r w:rsidRPr="000672D7">
        <w:rPr>
          <w:rFonts w:ascii="Arial" w:hAnsi="Arial" w:cs="Arial"/>
        </w:rPr>
        <w:t xml:space="preserve">  </w:t>
      </w:r>
      <w:r>
        <w:rPr>
          <w:rFonts w:ascii="Arial" w:hAnsi="Arial" w:cs="Arial"/>
        </w:rPr>
        <w:t>It is an</w:t>
      </w:r>
      <w:r w:rsidRPr="000672D7">
        <w:rPr>
          <w:rFonts w:ascii="Arial" w:hAnsi="Arial" w:cs="Arial"/>
        </w:rPr>
        <w:t xml:space="preserve"> easy way to teach children and families to identify healthy and unhealthy foods as</w:t>
      </w:r>
      <w:r>
        <w:rPr>
          <w:rFonts w:ascii="Arial" w:hAnsi="Arial" w:cs="Arial"/>
        </w:rPr>
        <w:t xml:space="preserve"> either</w:t>
      </w:r>
      <w:r w:rsidRPr="000672D7">
        <w:rPr>
          <w:rFonts w:ascii="Arial" w:hAnsi="Arial" w:cs="Arial"/>
        </w:rPr>
        <w:t xml:space="preserve"> GO (eat almost anytime), SLOW (eat sometimes), or WHOA (eat only once in a while or for special occasions).</w:t>
      </w:r>
      <w:r>
        <w:rPr>
          <w:rFonts w:ascii="Arial" w:hAnsi="Arial" w:cs="Arial"/>
        </w:rPr>
        <w:t xml:space="preserve"> </w:t>
      </w:r>
    </w:p>
    <w:p w:rsidR="00F2347D" w:rsidRPr="000672D7" w:rsidRDefault="00F2347D" w:rsidP="00F2347D">
      <w:pPr>
        <w:rPr>
          <w:rFonts w:ascii="Arial" w:hAnsi="Arial" w:cs="Arial"/>
        </w:rPr>
      </w:pPr>
    </w:p>
    <w:p w:rsidR="00F2347D" w:rsidRDefault="00F2347D" w:rsidP="00F2347D">
      <w:pPr>
        <w:rPr>
          <w:rFonts w:ascii="Arial" w:hAnsi="Arial" w:cs="Arial"/>
        </w:rPr>
      </w:pPr>
      <w:r w:rsidRPr="0005784C">
        <w:rPr>
          <w:rFonts w:ascii="Arial" w:hAnsi="Arial" w:cs="Arial"/>
        </w:rPr>
        <w:t xml:space="preserve">Divide participants into groups of 4-6.  Give each group a “game board” along with the foods squares (precut and mixed up). </w:t>
      </w:r>
      <w:r>
        <w:rPr>
          <w:rFonts w:ascii="Arial" w:hAnsi="Arial" w:cs="Arial"/>
        </w:rPr>
        <w:t xml:space="preserve"> </w:t>
      </w:r>
      <w:r w:rsidRPr="0005784C">
        <w:rPr>
          <w:rFonts w:ascii="Arial" w:hAnsi="Arial" w:cs="Arial"/>
        </w:rPr>
        <w:t xml:space="preserve">Explain that the object of the game is to see who can put all the food items in their correct places on the “game board” page the fastest.  Tell them to wait to start until you say “go.” </w:t>
      </w:r>
      <w:r>
        <w:rPr>
          <w:rFonts w:ascii="Arial" w:hAnsi="Arial" w:cs="Arial"/>
        </w:rPr>
        <w:t xml:space="preserve"> </w:t>
      </w:r>
      <w:r w:rsidRPr="0005784C">
        <w:rPr>
          <w:rFonts w:ascii="Arial" w:hAnsi="Arial" w:cs="Arial"/>
        </w:rPr>
        <w:t xml:space="preserve">End the activity by handing out the original/complete handout for comparison. </w:t>
      </w:r>
    </w:p>
    <w:p w:rsidR="00F2347D" w:rsidRDefault="00F2347D">
      <w:pPr>
        <w:spacing w:after="200" w:line="276" w:lineRule="auto"/>
      </w:pPr>
      <w:r>
        <w:br w:type="page"/>
      </w:r>
    </w:p>
    <w:p w:rsidR="00F2347D" w:rsidRDefault="00F2347D" w:rsidP="00F2347D">
      <w:pPr>
        <w:tabs>
          <w:tab w:val="left" w:pos="540"/>
          <w:tab w:val="left" w:pos="900"/>
        </w:tabs>
        <w:jc w:val="right"/>
        <w:rPr>
          <w:rFonts w:ascii="Arial" w:hAnsi="Arial" w:cs="Arial"/>
          <w:b/>
          <w:sz w:val="22"/>
        </w:rPr>
      </w:pPr>
      <w:r w:rsidRPr="001E0E8A">
        <w:rPr>
          <w:noProof/>
          <w:szCs w:val="32"/>
        </w:rPr>
        <w:lastRenderedPageBreak/>
        <w:drawing>
          <wp:anchor distT="0" distB="0" distL="114300" distR="114300" simplePos="0" relativeHeight="251661312" behindDoc="0" locked="0" layoutInCell="1" allowOverlap="1" wp14:anchorId="7639E56E" wp14:editId="2623B4CF">
            <wp:simplePos x="0" y="0"/>
            <wp:positionH relativeFrom="column">
              <wp:posOffset>85725</wp:posOffset>
            </wp:positionH>
            <wp:positionV relativeFrom="paragraph">
              <wp:posOffset>266065</wp:posOffset>
            </wp:positionV>
            <wp:extent cx="5801995" cy="7486650"/>
            <wp:effectExtent l="0" t="0" r="0" b="0"/>
            <wp:wrapTight wrapText="bothSides">
              <wp:wrapPolygon edited="0">
                <wp:start x="0" y="0"/>
                <wp:lineTo x="0" y="21545"/>
                <wp:lineTo x="21560" y="21545"/>
                <wp:lineTo x="2156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801995" cy="7486650"/>
                    </a:xfrm>
                    <a:prstGeom prst="rect">
                      <a:avLst/>
                    </a:prstGeom>
                    <a:noFill/>
                    <a:ln w="9525">
                      <a:noFill/>
                      <a:miter lim="800000"/>
                      <a:headEnd/>
                      <a:tailEnd/>
                    </a:ln>
                  </pic:spPr>
                </pic:pic>
              </a:graphicData>
            </a:graphic>
          </wp:anchor>
        </w:drawing>
      </w:r>
      <w:r>
        <w:rPr>
          <w:rFonts w:ascii="Arial" w:hAnsi="Arial" w:cs="Arial"/>
          <w:b/>
          <w:sz w:val="22"/>
        </w:rPr>
        <w:t>Handout B-2</w:t>
      </w:r>
    </w:p>
    <w:p w:rsidR="00CF29A9" w:rsidRDefault="00CF29A9">
      <w:bookmarkStart w:id="0" w:name="_GoBack"/>
      <w:bookmarkEnd w:id="0"/>
    </w:p>
    <w:sectPr w:rsidR="00CF2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B2032"/>
    <w:multiLevelType w:val="hybridMultilevel"/>
    <w:tmpl w:val="A0F46360"/>
    <w:lvl w:ilvl="0" w:tplc="AE5C8BE8">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7D"/>
    <w:rsid w:val="00CF29A9"/>
    <w:rsid w:val="00F2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47D"/>
    <w:pPr>
      <w:ind w:left="720"/>
      <w:contextualSpacing/>
    </w:pPr>
  </w:style>
  <w:style w:type="character" w:styleId="Hyperlink">
    <w:name w:val="Hyperlink"/>
    <w:uiPriority w:val="99"/>
    <w:rsid w:val="00F234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47D"/>
    <w:pPr>
      <w:ind w:left="720"/>
      <w:contextualSpacing/>
    </w:pPr>
  </w:style>
  <w:style w:type="character" w:styleId="Hyperlink">
    <w:name w:val="Hyperlink"/>
    <w:uiPriority w:val="99"/>
    <w:rsid w:val="00F23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lbi.nih.gov/health/public/heart/obesity/wecan/tools-resources/nutrition.htm" TargetMode="External"/><Relationship Id="rId3" Type="http://schemas.microsoft.com/office/2007/relationships/stylesWithEffects" Target="stylesWithEffects.xml"/><Relationship Id="rId7" Type="http://schemas.openxmlformats.org/officeDocument/2006/relationships/hyperlink" Target="http://www.nhlbi.nih.gov/health/public/heart/obesity/wecan/eat-right/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lbi.nih.gov/health/public/heart/obesity/wecan/downloads/urwhateat.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hlbi.nih.gov/health/public/heart/obesity/wecan/tools-resources/nutri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2015-02-26T16:49:00Z</dcterms:created>
  <dcterms:modified xsi:type="dcterms:W3CDTF">2015-02-26T16:51:00Z</dcterms:modified>
</cp:coreProperties>
</file>